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2. Rewolucja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przyczyny rewolucji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terminów: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lastRenderedPageBreak/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 xml:space="preserve">(socjalizm, ruch </w:t>
            </w:r>
            <w:r w:rsidRPr="000C67C6">
              <w:rPr>
                <w:rFonts w:cs="TimesNewRoman"/>
                <w:sz w:val="20"/>
                <w:szCs w:val="20"/>
              </w:rPr>
              <w:lastRenderedPageBreak/>
              <w:t>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Roberta Owena,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pierwszej połowie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w zaborach pruskim,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obszarze ziem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konstytucji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 xml:space="preserve">charakteryzuje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lastRenderedPageBreak/>
              <w:t>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okręgi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konspiracja,kaliszanie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lastRenderedPageBreak/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kultura polska po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Adama Mickiewicza, Juliusza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Joachima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skutki wojny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lastRenderedPageBreak/>
              <w:t>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terminów: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sytuację gospodarczą,społeczną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konsekwencje dla dalszego przebieguwojny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Stanów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lastRenderedPageBreak/>
              <w:t>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zjednoczenie Włoch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jakie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skutki zjednoczenia Włochi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zajęcia Wenecji przez Królestwo Włoch (1866), zajęcia Państwa Kościelnego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państwa,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mapie tereny świata, którepodlegały kolonizacjipod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ideologia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5. Postęp techniczny i kultura przełomu XIX i XX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nauk przyrodniczych oraz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 xml:space="preserve">wej i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lastRenderedPageBreak/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lastRenderedPageBreak/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okoliczności upowszechnienia sportu w drugiej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lastRenderedPageBreak/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–ocenia znaczenierozpowszechn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omawia cele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bezpośrednie represje wobec uczestników powstania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 xml:space="preserve">Piotra </w:t>
            </w:r>
            <w:r w:rsidR="009451D4" w:rsidRPr="000C67C6">
              <w:rPr>
                <w:rFonts w:cs="Humanst521EU-Normal"/>
                <w:sz w:val="20"/>
                <w:szCs w:val="20"/>
              </w:rPr>
              <w:lastRenderedPageBreak/>
              <w:t>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ogłoszeniatzw. noweli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osadniczej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Socjaldemokracji Królestwa Polskiego (1893), 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omawia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postacie:Henryka Sienkiewicza, Bolesława Prusa, Władysława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Reymonta, Elizy Orzeszkowej, Jana Matejki, Marii Konopnickiej,Stanisława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wpływ poglądów pozytywistycznych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narastanie konfliktów politycznych, gospodarczych i militarnych między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mocarstw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lastRenderedPageBreak/>
              <w:t>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opisuje okolicznościpowstania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wojna błyskawiczna,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 wymienia przyczynę bezpośrednią wybuchu Wielkiej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Lwa Trockiego, Feliksa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lastRenderedPageBreak/>
              <w:t>założenia programowe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stanowisko państw ententy w sprawie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wymienia postanowienia konferencji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Ligi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</w:t>
            </w:r>
            <w:r w:rsidR="009774CE" w:rsidRPr="000C67C6">
              <w:rPr>
                <w:rFonts w:cs="Humanst521EU-Normal"/>
                <w:sz w:val="20"/>
                <w:szCs w:val="20"/>
              </w:rPr>
              <w:lastRenderedPageBreak/>
              <w:t xml:space="preserve">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Davida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wielkiego kryzysu gospodarczego na sytuację polityczną 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– postacie historyczne: </w:t>
            </w:r>
            <w:r w:rsidRPr="005C5388">
              <w:rPr>
                <w:rFonts w:cstheme="minorHAnsi"/>
                <w:sz w:val="20"/>
                <w:szCs w:val="20"/>
                <w:lang w:val="en-US"/>
              </w:rPr>
              <w:lastRenderedPageBreak/>
              <w:t>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totalitaryzmu (niemieckiego narodowego 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marsz na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stalinizm, NKWD, kult jednostki, wielka czystka, komunizm wojenny, Nowa Ekonomiczna Polityka,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lokalnych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przez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Radę Regencyjną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w pierwszym roku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konflikt polsko-ukraiński o Galicję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Orlęta Lwowskie, „cud nad Wisłą”, linia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>, 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, plebiscytu </w:t>
            </w:r>
            <w:r w:rsidR="00431203" w:rsidRPr="000C67C6">
              <w:rPr>
                <w:rFonts w:cs="Humanst521EU-Normal"/>
                <w:sz w:val="20"/>
                <w:szCs w:val="20"/>
              </w:rPr>
              <w:lastRenderedPageBreak/>
              <w:t>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LucjanaŻeligowskiego,Wincentego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 skutki powstania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polsko-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Piłsudskiego,Romana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lastRenderedPageBreak/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Polsce w latach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konstytucja kwietniowa, polityka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 xml:space="preserve">wyborów brzeskich </w:t>
            </w:r>
            <w:r w:rsidR="00C84DBB" w:rsidRPr="000C67C6">
              <w:rPr>
                <w:rFonts w:cstheme="minorHAnsi"/>
                <w:sz w:val="20"/>
                <w:szCs w:val="20"/>
              </w:rPr>
              <w:lastRenderedPageBreak/>
              <w:t>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 xml:space="preserve">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malarstwie i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osiągnięcia polskich naukowców w dziedzinie nauk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tworzących 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lastRenderedPageBreak/>
              <w:t>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Ribbentrop–Mołotow miały przypaść 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wobec Polski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 wpływ miały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941" w:rsidRDefault="006B3941" w:rsidP="00254330">
      <w:pPr>
        <w:spacing w:after="0" w:line="240" w:lineRule="auto"/>
      </w:pPr>
      <w:r>
        <w:separator/>
      </w:r>
    </w:p>
  </w:endnote>
  <w:endnote w:type="continuationSeparator" w:id="1">
    <w:p w:rsidR="006B3941" w:rsidRDefault="006B3941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933831"/>
      <w:docPartObj>
        <w:docPartGallery w:val="Page Numbers (Bottom of Page)"/>
        <w:docPartUnique/>
      </w:docPartObj>
    </w:sdtPr>
    <w:sdtContent>
      <w:p w:rsidR="003F5FEA" w:rsidRDefault="00AD6E47">
        <w:pPr>
          <w:pStyle w:val="Stopka"/>
          <w:jc w:val="right"/>
        </w:pPr>
        <w:r>
          <w:rPr>
            <w:noProof/>
          </w:rPr>
          <w:fldChar w:fldCharType="begin"/>
        </w:r>
        <w:r w:rsidR="003F5FE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43B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941" w:rsidRDefault="006B3941" w:rsidP="00254330">
      <w:pPr>
        <w:spacing w:after="0" w:line="240" w:lineRule="auto"/>
      </w:pPr>
      <w:r>
        <w:separator/>
      </w:r>
    </w:p>
  </w:footnote>
  <w:footnote w:type="continuationSeparator" w:id="1">
    <w:p w:rsidR="006B3941" w:rsidRDefault="006B3941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3BF6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3941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6E47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12BD-59E8-4453-9E4F-77EDE1E3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10174</Words>
  <Characters>61048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bonk</cp:lastModifiedBy>
  <cp:revision>2</cp:revision>
  <dcterms:created xsi:type="dcterms:W3CDTF">2024-09-02T17:06:00Z</dcterms:created>
  <dcterms:modified xsi:type="dcterms:W3CDTF">2024-09-02T17:06:00Z</dcterms:modified>
</cp:coreProperties>
</file>